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16"/>
      </w:tblGrid>
      <w:tr w:rsidR="00460AE1" w:rsidRPr="00156CBC" w:rsidTr="00FE645B">
        <w:trPr>
          <w:trHeight w:val="4211"/>
        </w:trPr>
        <w:tc>
          <w:tcPr>
            <w:tcW w:w="9916" w:type="dxa"/>
            <w:shd w:val="clear" w:color="auto" w:fill="auto"/>
          </w:tcPr>
          <w:p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FD3248">
              <w:rPr>
                <w:rFonts w:ascii="PT Astra Serif" w:eastAsia="Times New Roman" w:hAnsi="PT Astra Serif" w:cs="Times New Roman"/>
                <w:kern w:val="0"/>
                <w:lang w:bidi="ar-SA"/>
              </w:rPr>
              <w:t>_______</w:t>
            </w:r>
            <w:r w:rsidR="00DF72D9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 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FD3248">
              <w:rPr>
                <w:rFonts w:ascii="PT Astra Serif" w:eastAsia="Times New Roman" w:hAnsi="PT Astra Serif" w:cs="Times New Roman"/>
                <w:kern w:val="0"/>
                <w:lang w:bidi="ar-SA"/>
              </w:rPr>
              <w:t>______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FE645B" w:rsidRDefault="00460AE1" w:rsidP="00FE645B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</w:tc>
      </w:tr>
    </w:tbl>
    <w:p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район» Ульяновской области от </w:t>
      </w:r>
      <w:r w:rsidR="00861A4A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п о с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т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а н о в л я е т:</w:t>
      </w:r>
    </w:p>
    <w:p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1.Внести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</w:t>
      </w:r>
      <w:r w:rsidR="004C7AC5">
        <w:rPr>
          <w:rFonts w:ascii="PT Astra Serif" w:hAnsi="PT Astra Serif"/>
          <w:sz w:val="28"/>
          <w:szCs w:val="28"/>
        </w:rPr>
        <w:t>, от 18.04.2025 № 525</w:t>
      </w:r>
      <w:r w:rsidR="00147835">
        <w:rPr>
          <w:rFonts w:ascii="PT Astra Serif" w:hAnsi="PT Astra Serif"/>
          <w:sz w:val="28"/>
          <w:szCs w:val="28"/>
        </w:rPr>
        <w:t>, от 19.06.2025 № 939</w:t>
      </w:r>
      <w:r w:rsidR="00F87119">
        <w:rPr>
          <w:rFonts w:ascii="PT Astra Serif" w:hAnsi="PT Astra Serif"/>
          <w:sz w:val="28"/>
          <w:szCs w:val="28"/>
        </w:rPr>
        <w:t>, от 24.07.2025 № 1286</w:t>
      </w:r>
      <w:r w:rsidR="00482C0B">
        <w:rPr>
          <w:rFonts w:ascii="PT Astra Serif" w:hAnsi="PT Astra Serif"/>
          <w:sz w:val="28"/>
          <w:szCs w:val="28"/>
        </w:rPr>
        <w:t>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460AE1" w:rsidRPr="00156CBC" w:rsidTr="00A26B45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источникам финансового</w:t>
            </w:r>
            <w:r w:rsidR="00A26B45">
              <w:rPr>
                <w:rFonts w:ascii="PT Astra Serif" w:hAnsi="PT Astra Serif"/>
                <w:sz w:val="28"/>
                <w:szCs w:val="28"/>
              </w:rPr>
              <w:t xml:space="preserve"> обеспечения и </w:t>
            </w:r>
            <w:r w:rsidR="00A26B45">
              <w:rPr>
                <w:rFonts w:ascii="PT Astra Serif" w:hAnsi="PT Astra Serif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Общий объём бюджетных ассигнований на финансовое обеспечение муниципальной программы составляет </w:t>
            </w:r>
            <w:r w:rsidR="00F8711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394496,24335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2025 год – </w:t>
            </w:r>
            <w:r w:rsidR="00F8711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251407,66013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26 899,47665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29 047,2766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29 047,27664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29 047,27664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29 047,27664 тыс. руб.</w:t>
            </w:r>
          </w:p>
          <w:p w:rsidR="00720F88" w:rsidRDefault="00720F88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из них: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175 </w:t>
            </w:r>
            <w:r w:rsidR="00F8711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53,83733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34 </w:t>
            </w:r>
            <w:r w:rsidR="00F8711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6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01,63736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 472,20000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28 620,00000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28 619,99999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A26B45" w:rsidRPr="00A26B45" w:rsidRDefault="00F87119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81232,82340</w:t>
            </w:r>
            <w:r w:rsidR="00A26B45"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F8711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79096,44015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427,27665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тыс. </w:t>
            </w:r>
            <w:proofErr w:type="gramStart"/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.</w:t>
            </w:r>
            <w:proofErr w:type="gramEnd"/>
          </w:p>
          <w:p w:rsidR="00720F88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(финансируемы</w:t>
            </w:r>
            <w:r w:rsidR="00B757C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е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за счет средств Федерального бюджета)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–</w:t>
            </w:r>
          </w:p>
          <w:p w:rsidR="00720F88" w:rsidRPr="00720F88" w:rsidRDefault="002E4411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137 056,40262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137 056,40262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 тыс. руб.</w:t>
            </w:r>
          </w:p>
          <w:p w:rsidR="00720F88" w:rsidRP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бюджета, источником которых являются внебюджетные средства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–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653,18000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653,18000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460AE1" w:rsidRPr="00156CBC" w:rsidRDefault="00A26B45" w:rsidP="00A26B4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0,00000 тыс. руб.</w:t>
            </w:r>
          </w:p>
        </w:tc>
      </w:tr>
    </w:tbl>
    <w:p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A26B45" w:rsidRDefault="00A26B45">
      <w:pPr>
        <w:rPr>
          <w:rFonts w:ascii="PT Astra Serif" w:hAnsi="PT Astra Serif"/>
        </w:rPr>
      </w:pPr>
    </w:p>
    <w:p w:rsidR="006B20BC" w:rsidRDefault="006B20BC">
      <w:pPr>
        <w:rPr>
          <w:rFonts w:ascii="PT Astra Serif" w:hAnsi="PT Astra Serif"/>
        </w:rPr>
      </w:pPr>
    </w:p>
    <w:p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C7AC5"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2E4411">
        <w:rPr>
          <w:rFonts w:ascii="PT Astra Serif" w:hAnsi="PT Astra Serif"/>
          <w:sz w:val="28"/>
          <w:szCs w:val="28"/>
        </w:rPr>
        <w:t>» изложить в следующей редакци</w:t>
      </w:r>
      <w:r w:rsidR="00F01B92">
        <w:rPr>
          <w:rFonts w:ascii="PT Astra Serif" w:hAnsi="PT Astra Serif"/>
          <w:sz w:val="28"/>
          <w:szCs w:val="28"/>
        </w:rPr>
        <w:t>и</w:t>
      </w:r>
      <w:r w:rsidR="002C312E">
        <w:rPr>
          <w:rFonts w:ascii="PT Astra Serif" w:hAnsi="PT Astra Serif"/>
          <w:sz w:val="28"/>
          <w:szCs w:val="28"/>
        </w:rPr>
        <w:t>:</w:t>
      </w:r>
    </w:p>
    <w:p w:rsidR="00720F88" w:rsidRDefault="007C6221" w:rsidP="007C6221">
      <w:pPr>
        <w:pStyle w:val="ConsPlusNormal"/>
        <w:rPr>
          <w:rFonts w:ascii="PT Astra Serif" w:hAnsi="PT Astra Serif"/>
        </w:rPr>
        <w:sectPr w:rsidR="00720F88" w:rsidSect="00FE645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tbl>
      <w:tblPr>
        <w:tblW w:w="152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39"/>
      </w:tblGrid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Default="002E4411" w:rsidP="00F87119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</w:p>
          <w:p w:rsidR="002E4411" w:rsidRPr="00482C0B" w:rsidRDefault="002E4411" w:rsidP="00F87119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ФИНАНСОВОЕ ОБЕСПЕЧЕНИЕ</w:t>
            </w:r>
          </w:p>
        </w:tc>
      </w:tr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482C0B" w:rsidRDefault="002E4411" w:rsidP="00F87119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муниципальной программы </w:t>
            </w:r>
          </w:p>
        </w:tc>
      </w:tr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482C0B" w:rsidRDefault="002E4411" w:rsidP="00F87119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Мелекесского</w:t>
            </w:r>
            <w:proofErr w:type="spellEnd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района Ульяновской области»</w:t>
            </w:r>
          </w:p>
        </w:tc>
      </w:tr>
    </w:tbl>
    <w:p w:rsidR="002E4411" w:rsidRDefault="002E4411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562"/>
        <w:gridCol w:w="1726"/>
        <w:gridCol w:w="1393"/>
        <w:gridCol w:w="2268"/>
        <w:gridCol w:w="1276"/>
        <w:gridCol w:w="1275"/>
        <w:gridCol w:w="1276"/>
        <w:gridCol w:w="1134"/>
        <w:gridCol w:w="1134"/>
        <w:gridCol w:w="1134"/>
        <w:gridCol w:w="1134"/>
        <w:gridCol w:w="1056"/>
      </w:tblGrid>
      <w:tr w:rsidR="002E4411" w:rsidRPr="002E4411" w:rsidTr="00CC15D7">
        <w:trPr>
          <w:trHeight w:val="11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N п/п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Код целевой статьи расходов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2E4411" w:rsidRPr="002E4411" w:rsidTr="00CC15D7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2030</w:t>
            </w:r>
          </w:p>
        </w:tc>
      </w:tr>
      <w:tr w:rsidR="002E4411" w:rsidRPr="002E4411" w:rsidTr="00CC15D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12</w:t>
            </w:r>
          </w:p>
        </w:tc>
      </w:tr>
      <w:tr w:rsidR="00F87119" w:rsidRPr="002E4411" w:rsidTr="00CC15D7">
        <w:trPr>
          <w:trHeight w:val="10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Муниципальная  программа 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394496,24335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F87119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251407,66013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26899,47665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</w:tr>
      <w:tr w:rsidR="00F87119" w:rsidRPr="002E4411" w:rsidTr="00CC15D7">
        <w:trPr>
          <w:trHeight w:val="15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 (далее – местный бюджет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175553,83733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34601,63736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26472,20000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</w:tr>
      <w:tr w:rsidR="00F87119" w:rsidRPr="002E4411" w:rsidTr="00CC15D7">
        <w:trPr>
          <w:trHeight w:val="15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81232,82340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79096,44015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CC15D7">
        <w:trPr>
          <w:trHeight w:val="21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11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7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51540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приоритетный проект «Вода-это жизнь!»</w:t>
            </w: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br/>
              <w:t xml:space="preserve">(Текущий ремонт водозабора в с.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Рязаново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области)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11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районаУльяновской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CC15D7">
        <w:trPr>
          <w:trHeight w:val="64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CC15D7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18 4 01 61108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18 4 01 70020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строительство,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реконструкци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.,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S0020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газоснабжения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18 4 02 65673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F87119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2E4411"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6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CC15D7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CC15D7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CC15D7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(в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CC15D7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18 4 03 61308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CC15D7">
        <w:trPr>
          <w:trHeight w:val="19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87119" w:rsidRPr="002E4411" w:rsidTr="00CC15D7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«Обустройство мест (площадок) накопления ТКО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CC15D7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3196,07626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CC15D7" w:rsidRDefault="00F87119" w:rsidP="00F87119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409,69301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</w:tr>
      <w:tr w:rsidR="002E4411" w:rsidRPr="002E4411" w:rsidTr="00CC15D7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CC15D7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CC15D7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F87119" w:rsidRPr="002E4411" w:rsidTr="00CC15D7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2416,07626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CC15D7" w:rsidRDefault="00F87119" w:rsidP="00F87119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279,69301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19" w:rsidRPr="002E4411" w:rsidRDefault="00F87119" w:rsidP="00F8711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CC15D7">
        <w:trPr>
          <w:trHeight w:val="6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2E4411" w:rsidRPr="002E4411" w:rsidTr="00CC15D7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18 4 04 60077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2E4411" w:rsidRPr="002E4411" w:rsidTr="00CC15D7">
        <w:trPr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CC15D7" w:rsidRPr="002E4411" w:rsidTr="00CC15D7">
        <w:trPr>
          <w:trHeight w:val="56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по обустройству мест (площадок) накопления твердых 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CC15D7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2795,07626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CC15D7" w:rsidRDefault="00CC15D7" w:rsidP="00CC15D7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358,69301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</w:tr>
      <w:tr w:rsidR="002E4411" w:rsidRPr="002E4411" w:rsidTr="00CC15D7">
        <w:trPr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CC15D7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CC15D7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</w:tr>
      <w:tr w:rsidR="00CC15D7" w:rsidRPr="002E4411" w:rsidTr="00CC15D7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CC15D7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2416,07626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CC15D7" w:rsidRDefault="00CC15D7" w:rsidP="00CC15D7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C15D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279,69301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D7" w:rsidRPr="002E4411" w:rsidRDefault="00CC15D7" w:rsidP="00CC15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CC15D7">
        <w:trPr>
          <w:trHeight w:val="6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169730,11141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30692,91144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2E4411" w:rsidRPr="002E4411" w:rsidTr="00CC15D7">
        <w:trPr>
          <w:trHeight w:val="5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169730,11141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30692,91144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2E4411" w:rsidRPr="002E4411" w:rsidTr="00CC15D7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района»Ульяновской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146242,44580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26802,40521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2E4411" w:rsidRPr="002E4411" w:rsidTr="00CC15D7">
        <w:trPr>
          <w:trHeight w:val="9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146242,44580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26802,40521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2E4411" w:rsidRPr="002E4411" w:rsidTr="00CC15D7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  <w:tr w:rsidR="002E4411" w:rsidRPr="002E4411" w:rsidTr="00CC15D7">
        <w:trPr>
          <w:trHeight w:val="9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</w:tbl>
    <w:p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 xml:space="preserve">2. </w:t>
      </w:r>
      <w:r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       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2E441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М.Р. Сенюта</w:t>
      </w:r>
    </w:p>
    <w:p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067D9"/>
    <w:rsid w:val="001158D4"/>
    <w:rsid w:val="00126EB4"/>
    <w:rsid w:val="0013551E"/>
    <w:rsid w:val="00146763"/>
    <w:rsid w:val="00146986"/>
    <w:rsid w:val="00147835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771F4"/>
    <w:rsid w:val="00284203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312E"/>
    <w:rsid w:val="002C5988"/>
    <w:rsid w:val="002C6017"/>
    <w:rsid w:val="002E0115"/>
    <w:rsid w:val="002E1E0B"/>
    <w:rsid w:val="002E4411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354"/>
    <w:rsid w:val="00302FBE"/>
    <w:rsid w:val="0030473D"/>
    <w:rsid w:val="0031067E"/>
    <w:rsid w:val="0031409F"/>
    <w:rsid w:val="00315F85"/>
    <w:rsid w:val="003225AD"/>
    <w:rsid w:val="00323241"/>
    <w:rsid w:val="00331ED9"/>
    <w:rsid w:val="00344E5B"/>
    <w:rsid w:val="00351A75"/>
    <w:rsid w:val="0035296F"/>
    <w:rsid w:val="003563FB"/>
    <w:rsid w:val="00360030"/>
    <w:rsid w:val="00360696"/>
    <w:rsid w:val="003606C6"/>
    <w:rsid w:val="00371F16"/>
    <w:rsid w:val="00377A98"/>
    <w:rsid w:val="0038371F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1D38"/>
    <w:rsid w:val="003F785D"/>
    <w:rsid w:val="00407B13"/>
    <w:rsid w:val="00407C3C"/>
    <w:rsid w:val="00414713"/>
    <w:rsid w:val="004212DE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EB0"/>
    <w:rsid w:val="00482C0B"/>
    <w:rsid w:val="004A0342"/>
    <w:rsid w:val="004B71D0"/>
    <w:rsid w:val="004C0123"/>
    <w:rsid w:val="004C7AC5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61A4A"/>
    <w:rsid w:val="00874E7C"/>
    <w:rsid w:val="00874F71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4190"/>
    <w:rsid w:val="00A15B22"/>
    <w:rsid w:val="00A26B45"/>
    <w:rsid w:val="00A30250"/>
    <w:rsid w:val="00A34B85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7BC"/>
    <w:rsid w:val="00B40C36"/>
    <w:rsid w:val="00B43A3A"/>
    <w:rsid w:val="00B460DE"/>
    <w:rsid w:val="00B5135F"/>
    <w:rsid w:val="00B51625"/>
    <w:rsid w:val="00B53922"/>
    <w:rsid w:val="00B6337E"/>
    <w:rsid w:val="00B66EEF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15D7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56D9"/>
    <w:rsid w:val="00D56B37"/>
    <w:rsid w:val="00D60BF8"/>
    <w:rsid w:val="00D731A7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11581"/>
    <w:rsid w:val="00E246F9"/>
    <w:rsid w:val="00E260F8"/>
    <w:rsid w:val="00E344AF"/>
    <w:rsid w:val="00E5775F"/>
    <w:rsid w:val="00E6583C"/>
    <w:rsid w:val="00E73C52"/>
    <w:rsid w:val="00EA2782"/>
    <w:rsid w:val="00EA27A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87119"/>
    <w:rsid w:val="00F90F24"/>
    <w:rsid w:val="00FA2E2E"/>
    <w:rsid w:val="00FA2F84"/>
    <w:rsid w:val="00FA4F83"/>
    <w:rsid w:val="00FA614B"/>
    <w:rsid w:val="00FD3248"/>
    <w:rsid w:val="00FE645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053B"/>
  <w15:docId w15:val="{9BAC8D5C-F566-4F3A-B7D2-762C068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A485-3269-4545-9E11-E6E24155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2025-07-25T03:48:00Z</cp:lastPrinted>
  <dcterms:created xsi:type="dcterms:W3CDTF">2023-08-07T10:04:00Z</dcterms:created>
  <dcterms:modified xsi:type="dcterms:W3CDTF">2025-08-21T12:01:00Z</dcterms:modified>
</cp:coreProperties>
</file>